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z w:val="40"/><w:szCs w:val="40"/></w:rPr><w:t xml:space="preserve">เว็บแอปพลิเคชัน (Web Application) และสื่อส่งเสริมการเรียนรู้พระพุทธศาสนาในมิติศาสนสถาน</w:t></w:r></w:p><w:p><w:pPr/><w:r><w:pict><v:shape type="#_x0000_t75" stroked="f" style="width:420pt; height:235.8125pt; margin-left:0pt; margin-top:0pt; mso-position-horizontal:left; mso-position-vertical:top; mso-position-horizontal-relative:char; mso-position-vertical-relative:line;"><w10:wrap type="inline"/><v:imagedata r:id="rId7" o:title=""/></v:shape></w:pict></w:r></w:p><w:p><w:pPr/><w:r><w:rPr><w:sz w:val="32"/><w:szCs w:val="32"/></w:rPr><w:t xml:space="preserve">ลิ้งสำหรับการเข้าใช้งาน&nbsp;https://www.4holyplaces.com/คู่มือการใช้งาน
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2026-06-23T16:46:29+00:00</dcterms:created>
  <dcterms:modified xsi:type="dcterms:W3CDTF">2026-06-23T16:46:29+00:00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